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599B" w14:textId="549153DC" w:rsidR="00925486" w:rsidRPr="00784BDE" w:rsidRDefault="00784BDE" w:rsidP="00784BDE">
      <w:pPr>
        <w:jc w:val="center"/>
        <w:rPr>
          <w:rFonts w:ascii="MetaSerifPro-Book" w:hAnsi="MetaSerifPro-Book" w:cs="MetaSerifPro-Book"/>
          <w:b/>
          <w:bCs/>
          <w:color w:val="2F5496" w:themeColor="accent1" w:themeShade="BF"/>
          <w:sz w:val="24"/>
          <w:szCs w:val="24"/>
          <w:lang w:val="en-GB" w:eastAsia="ii-CN"/>
        </w:rPr>
      </w:pPr>
      <w:r w:rsidRPr="00784BDE">
        <w:rPr>
          <w:rFonts w:ascii="MetaSerifPro-Book" w:eastAsia="Times New Roman" w:hAnsi="MetaSerifPro-Book"/>
          <w:b/>
          <w:bCs/>
          <w:color w:val="1F497D"/>
          <w:sz w:val="24"/>
          <w:szCs w:val="24"/>
          <w:lang w:val="en-GB" w:eastAsia="en-GB"/>
        </w:rPr>
        <w:t xml:space="preserve">FUEN </w:t>
      </w:r>
      <w:r w:rsidR="00FA3C39">
        <w:rPr>
          <w:rFonts w:ascii="MetaSerifPro-Book" w:eastAsia="Times New Roman" w:hAnsi="MetaSerifPro-Book"/>
          <w:b/>
          <w:bCs/>
          <w:color w:val="1F497D"/>
          <w:sz w:val="24"/>
          <w:szCs w:val="24"/>
          <w:lang w:val="en-GB" w:eastAsia="en-GB"/>
        </w:rPr>
        <w:t>Main</w:t>
      </w:r>
      <w:r w:rsidRPr="00784BDE">
        <w:rPr>
          <w:rFonts w:ascii="MetaSerifPro-Book" w:eastAsia="Times New Roman" w:hAnsi="MetaSerifPro-Book"/>
          <w:b/>
          <w:bCs/>
          <w:color w:val="1F497D"/>
          <w:sz w:val="24"/>
          <w:szCs w:val="24"/>
          <w:lang w:val="en-GB" w:eastAsia="en-GB"/>
        </w:rPr>
        <w:t xml:space="preserve"> Resolution 2021</w:t>
      </w:r>
    </w:p>
    <w:p w14:paraId="1EE07A15" w14:textId="77777777" w:rsidR="0042202C" w:rsidRPr="00784BDE" w:rsidRDefault="0042202C" w:rsidP="00925486">
      <w:pPr>
        <w:jc w:val="center"/>
        <w:rPr>
          <w:rFonts w:ascii="MetaSerifPro-Book" w:hAnsi="MetaSerifPro-Book" w:cs="MetaSerifPro-Book"/>
          <w:b/>
          <w:bCs/>
          <w:color w:val="2F5496" w:themeColor="accent1" w:themeShade="BF"/>
          <w:sz w:val="24"/>
          <w:szCs w:val="24"/>
          <w:lang w:val="en-GB" w:eastAsia="ii-CN"/>
        </w:rPr>
      </w:pPr>
    </w:p>
    <w:p w14:paraId="24B84B40" w14:textId="7DA59EA4" w:rsidR="00925486" w:rsidRPr="00784BDE" w:rsidRDefault="00784BDE" w:rsidP="00925486">
      <w:pPr>
        <w:jc w:val="center"/>
        <w:rPr>
          <w:rFonts w:ascii="MetaSerifPro-Book" w:hAnsi="MetaSerifPro-Book" w:cs="MetaSerifPro-Book"/>
          <w:b/>
          <w:bCs/>
          <w:color w:val="2F5496" w:themeColor="accent1" w:themeShade="BF"/>
          <w:sz w:val="24"/>
          <w:szCs w:val="24"/>
          <w:lang w:val="en-GB" w:eastAsia="ii-CN"/>
        </w:rPr>
      </w:pPr>
      <w:r w:rsidRPr="00784BDE">
        <w:rPr>
          <w:rFonts w:ascii="MetaSerifPro-Book" w:eastAsia="Times New Roman" w:hAnsi="MetaSerifPro-Book"/>
          <w:b/>
          <w:bCs/>
          <w:color w:val="1F497D"/>
          <w:sz w:val="24"/>
          <w:szCs w:val="24"/>
          <w:lang w:val="en-GB" w:eastAsia="en-GB"/>
        </w:rPr>
        <w:t>on the future of autochthonous national and linguistic minorities in the European Union</w:t>
      </w:r>
    </w:p>
    <w:p w14:paraId="4D2BA500" w14:textId="77777777" w:rsidR="00925486" w:rsidRPr="0042202C" w:rsidRDefault="00925486" w:rsidP="00925486">
      <w:pPr>
        <w:jc w:val="both"/>
        <w:rPr>
          <w:rFonts w:ascii="MetaSerifPro-Book" w:hAnsi="MetaSerifPro-Book" w:cs="MetaSerifPro-Book"/>
          <w:sz w:val="24"/>
          <w:szCs w:val="24"/>
          <w:lang w:val="en-GB" w:eastAsia="ii-CN"/>
        </w:rPr>
      </w:pPr>
    </w:p>
    <w:p w14:paraId="1E65C72B" w14:textId="77777777" w:rsidR="00925486" w:rsidRPr="0042202C" w:rsidRDefault="00925486" w:rsidP="00925486">
      <w:pPr>
        <w:jc w:val="both"/>
        <w:rPr>
          <w:rFonts w:ascii="MetaSerifPro-Book" w:hAnsi="MetaSerifPro-Book" w:cs="MetaSerifPro-Book"/>
          <w:sz w:val="20"/>
          <w:szCs w:val="20"/>
          <w:lang w:val="en-GB" w:eastAsia="ii-CN"/>
        </w:rPr>
      </w:pPr>
    </w:p>
    <w:p w14:paraId="4196921D" w14:textId="77777777" w:rsidR="00925486" w:rsidRPr="0042202C" w:rsidRDefault="00925486" w:rsidP="00925486">
      <w:pPr>
        <w:jc w:val="both"/>
        <w:rPr>
          <w:rFonts w:ascii="MetaSerifPro-Book" w:hAnsi="MetaSerifPro-Book" w:cs="MetaSerifPro-Book"/>
          <w:sz w:val="20"/>
          <w:szCs w:val="20"/>
          <w:lang w:val="en-GB" w:eastAsia="ii-CN"/>
        </w:rPr>
      </w:pPr>
    </w:p>
    <w:p w14:paraId="163BCFDE" w14:textId="646CEB90" w:rsidR="00925486" w:rsidRPr="0042202C" w:rsidRDefault="00FA3C39" w:rsidP="00925486">
      <w:pPr>
        <w:jc w:val="both"/>
        <w:rPr>
          <w:rFonts w:ascii="MetaSerifPro-Book" w:hAnsi="MetaSerifPro-Book" w:cs="MetaSerifPro-Book"/>
          <w:sz w:val="24"/>
          <w:szCs w:val="24"/>
          <w:lang w:val="en-GB" w:eastAsia="ii-CN"/>
        </w:rPr>
      </w:pPr>
      <w:r w:rsidRPr="00FA3C39">
        <w:rPr>
          <w:rFonts w:ascii="MetaSerifPro-Light" w:hAnsi="MetaSerifPro-Light" w:cs="MetaSerifPro-Light"/>
          <w:color w:val="808080" w:themeColor="background1" w:themeShade="80"/>
          <w:sz w:val="20"/>
          <w:szCs w:val="20"/>
          <w:lang w:val="en-GB" w:eastAsia="ii-CN"/>
        </w:rPr>
        <w:t>The Delegates of the Member Organisations of the Federal Union of European Nationalities (FUEN) adopted the following resolution at their Assembly of Delegates in Trieste, Italy, on 11 September 2021:</w:t>
      </w:r>
    </w:p>
    <w:p w14:paraId="0FA23026" w14:textId="0911385C" w:rsidR="00925486" w:rsidRDefault="00925486" w:rsidP="00925486">
      <w:pPr>
        <w:jc w:val="both"/>
        <w:rPr>
          <w:rFonts w:ascii="MetaSerifPro-Book" w:hAnsi="MetaSerifPro-Book" w:cs="MetaSerifPro-Book"/>
          <w:sz w:val="24"/>
          <w:szCs w:val="24"/>
          <w:lang w:val="en-GB" w:eastAsia="ii-CN"/>
        </w:rPr>
      </w:pPr>
    </w:p>
    <w:p w14:paraId="74ABDC8A" w14:textId="77777777" w:rsidR="0031695B" w:rsidRPr="0042202C" w:rsidRDefault="0031695B" w:rsidP="00925486">
      <w:pPr>
        <w:jc w:val="both"/>
        <w:rPr>
          <w:rFonts w:ascii="MetaSerifPro-Book" w:hAnsi="MetaSerifPro-Book" w:cs="MetaSerifPro-Book"/>
          <w:sz w:val="24"/>
          <w:szCs w:val="24"/>
          <w:lang w:val="en-GB" w:eastAsia="ii-CN"/>
        </w:rPr>
      </w:pPr>
    </w:p>
    <w:p w14:paraId="5C1DD3A1" w14:textId="77777777" w:rsidR="00925486" w:rsidRPr="003341C3" w:rsidRDefault="00925486" w:rsidP="00925486">
      <w:pPr>
        <w:jc w:val="both"/>
        <w:rPr>
          <w:rFonts w:ascii="MetaSerifPro-Bold" w:hAnsi="MetaSerifPro-Bold" w:cs="MetaSerifPro-Bold"/>
          <w:b/>
          <w:bCs/>
          <w:sz w:val="20"/>
          <w:szCs w:val="20"/>
          <w:lang w:val="en-GB" w:eastAsia="ii-CN"/>
        </w:rPr>
      </w:pPr>
      <w:r w:rsidRPr="003341C3">
        <w:rPr>
          <w:rFonts w:ascii="MetaSerifPro-Bold" w:hAnsi="MetaSerifPro-Bold" w:cs="MetaSerifPro-Bold"/>
          <w:b/>
          <w:bCs/>
          <w:sz w:val="20"/>
          <w:szCs w:val="20"/>
          <w:lang w:val="en-GB" w:eastAsia="ii-CN"/>
        </w:rPr>
        <w:t>In due consideration of:</w:t>
      </w:r>
    </w:p>
    <w:p w14:paraId="7F4CBFAB" w14:textId="77777777" w:rsidR="00925486" w:rsidRPr="0042202C" w:rsidRDefault="00925486" w:rsidP="00925486">
      <w:pPr>
        <w:jc w:val="both"/>
        <w:rPr>
          <w:rFonts w:ascii="MetaSerifPro-Book" w:hAnsi="MetaSerifPro-Book" w:cs="MetaSerifPro-Book"/>
          <w:sz w:val="20"/>
          <w:szCs w:val="20"/>
          <w:lang w:val="en-GB" w:eastAsia="ii-CN"/>
        </w:rPr>
      </w:pPr>
    </w:p>
    <w:p w14:paraId="3E6210D0"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basic principles and fundamental rights referred to in the FUEN Charter for the autochthonous national minorities in Europe of </w:t>
      </w:r>
      <w:proofErr w:type="gramStart"/>
      <w:r w:rsidRPr="003341C3">
        <w:rPr>
          <w:rFonts w:ascii="MetaSerifPro-Light" w:hAnsi="MetaSerifPro-Light" w:cs="MetaSerifPro-Light"/>
          <w:sz w:val="20"/>
          <w:szCs w:val="20"/>
        </w:rPr>
        <w:t>2006;</w:t>
      </w:r>
      <w:proofErr w:type="gramEnd"/>
    </w:p>
    <w:p w14:paraId="532BC19F" w14:textId="77777777" w:rsidR="00925486"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political demands formulated in its FUEN “Programmatic Declaration” adopted in </w:t>
      </w:r>
      <w:proofErr w:type="spellStart"/>
      <w:r w:rsidRPr="003341C3">
        <w:rPr>
          <w:rFonts w:ascii="MetaSerifPro-Light" w:hAnsi="MetaSerifPro-Light" w:cs="MetaSerifPro-Light"/>
          <w:sz w:val="20"/>
          <w:szCs w:val="20"/>
        </w:rPr>
        <w:t>Brixen</w:t>
      </w:r>
      <w:proofErr w:type="spellEnd"/>
      <w:r w:rsidRPr="003341C3">
        <w:rPr>
          <w:rFonts w:ascii="MetaSerifPro-Light" w:hAnsi="MetaSerifPro-Light" w:cs="MetaSerifPro-Light"/>
          <w:sz w:val="20"/>
          <w:szCs w:val="20"/>
        </w:rPr>
        <w:t xml:space="preserve"> </w:t>
      </w:r>
    </w:p>
    <w:p w14:paraId="50AFC43B" w14:textId="77777777" w:rsidR="0042202C" w:rsidRPr="003341C3" w:rsidRDefault="00925486" w:rsidP="0042202C">
      <w:pPr>
        <w:pStyle w:val="ListParagraph"/>
        <w:rPr>
          <w:rFonts w:ascii="MetaSerifPro-Light" w:hAnsi="MetaSerifPro-Light" w:cs="MetaSerifPro-Light"/>
          <w:sz w:val="20"/>
          <w:szCs w:val="20"/>
        </w:rPr>
      </w:pPr>
      <w:r w:rsidRPr="003341C3">
        <w:rPr>
          <w:rFonts w:ascii="MetaSerifPro-Light" w:hAnsi="MetaSerifPro-Light" w:cs="MetaSerifPro-Light"/>
          <w:sz w:val="20"/>
          <w:szCs w:val="20"/>
        </w:rPr>
        <w:t xml:space="preserve">in </w:t>
      </w:r>
      <w:proofErr w:type="gramStart"/>
      <w:r w:rsidRPr="003341C3">
        <w:rPr>
          <w:rFonts w:ascii="MetaSerifPro-Light" w:hAnsi="MetaSerifPro-Light" w:cs="MetaSerifPro-Light"/>
          <w:sz w:val="20"/>
          <w:szCs w:val="20"/>
        </w:rPr>
        <w:t>2013;</w:t>
      </w:r>
      <w:proofErr w:type="gramEnd"/>
    </w:p>
    <w:p w14:paraId="0207F29D"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aims included in its FUEN “Minority Manifesto” adopted in Flensburg in </w:t>
      </w:r>
      <w:proofErr w:type="gramStart"/>
      <w:r w:rsidRPr="003341C3">
        <w:rPr>
          <w:rFonts w:ascii="MetaSerifPro-Light" w:hAnsi="MetaSerifPro-Light" w:cs="MetaSerifPro-Light"/>
          <w:sz w:val="20"/>
          <w:szCs w:val="20"/>
        </w:rPr>
        <w:t>2014;</w:t>
      </w:r>
      <w:proofErr w:type="gramEnd"/>
    </w:p>
    <w:p w14:paraId="05F32916"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legislative proposals of the Minority SafePack European Citizens’ Initiative and the response of the European Commission </w:t>
      </w:r>
      <w:proofErr w:type="gramStart"/>
      <w:r w:rsidRPr="003341C3">
        <w:rPr>
          <w:rFonts w:ascii="MetaSerifPro-Light" w:hAnsi="MetaSerifPro-Light" w:cs="MetaSerifPro-Light"/>
          <w:sz w:val="20"/>
          <w:szCs w:val="20"/>
        </w:rPr>
        <w:t>thereon;</w:t>
      </w:r>
      <w:proofErr w:type="gramEnd"/>
    </w:p>
    <w:p w14:paraId="5C7BDF60"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color w:val="000000" w:themeColor="text1"/>
          <w:sz w:val="20"/>
          <w:szCs w:val="20"/>
        </w:rPr>
        <w:t xml:space="preserve">the </w:t>
      </w:r>
      <w:r w:rsidR="009C5168" w:rsidRPr="003341C3">
        <w:rPr>
          <w:rFonts w:ascii="MetaSerifPro-Light" w:hAnsi="MetaSerifPro-Light" w:cs="MetaSerifPro-Light"/>
          <w:color w:val="000000" w:themeColor="text1"/>
          <w:sz w:val="20"/>
          <w:szCs w:val="20"/>
        </w:rPr>
        <w:t xml:space="preserve">Framework Convention for the Protection of National Minorities (FCNM) of the </w:t>
      </w:r>
      <w:r w:rsidRPr="003341C3">
        <w:rPr>
          <w:rFonts w:ascii="MetaSerifPro-Light" w:hAnsi="MetaSerifPro-Light" w:cs="MetaSerifPro-Light"/>
          <w:color w:val="000000" w:themeColor="text1"/>
          <w:sz w:val="20"/>
          <w:szCs w:val="20"/>
        </w:rPr>
        <w:t xml:space="preserve">Council of Europe in </w:t>
      </w:r>
      <w:proofErr w:type="gramStart"/>
      <w:r w:rsidR="009C5168" w:rsidRPr="003341C3">
        <w:rPr>
          <w:rFonts w:ascii="MetaSerifPro-Light" w:hAnsi="MetaSerifPro-Light" w:cs="MetaSerifPro-Light"/>
          <w:color w:val="000000" w:themeColor="text1"/>
          <w:sz w:val="20"/>
          <w:szCs w:val="20"/>
        </w:rPr>
        <w:t>1998;</w:t>
      </w:r>
      <w:proofErr w:type="gramEnd"/>
    </w:p>
    <w:p w14:paraId="1735410E" w14:textId="77777777" w:rsidR="0042202C" w:rsidRPr="003341C3" w:rsidRDefault="009C5168"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color w:val="000000" w:themeColor="text1"/>
          <w:sz w:val="20"/>
          <w:szCs w:val="20"/>
        </w:rPr>
        <w:t xml:space="preserve">the European Charter for Regional or Minority Languages (ECRML) of the Council of Europe in </w:t>
      </w:r>
      <w:proofErr w:type="gramStart"/>
      <w:r w:rsidRPr="003341C3">
        <w:rPr>
          <w:rFonts w:ascii="MetaSerifPro-Light" w:hAnsi="MetaSerifPro-Light" w:cs="MetaSerifPro-Light"/>
          <w:color w:val="000000" w:themeColor="text1"/>
          <w:sz w:val="20"/>
          <w:szCs w:val="20"/>
        </w:rPr>
        <w:t>1998</w:t>
      </w:r>
      <w:r w:rsidR="006458E7" w:rsidRPr="003341C3">
        <w:rPr>
          <w:rFonts w:ascii="MetaSerifPro-Light" w:hAnsi="MetaSerifPro-Light" w:cs="MetaSerifPro-Light"/>
          <w:color w:val="000000" w:themeColor="text1"/>
          <w:sz w:val="20"/>
          <w:szCs w:val="20"/>
        </w:rPr>
        <w:t>;</w:t>
      </w:r>
      <w:proofErr w:type="gramEnd"/>
    </w:p>
    <w:p w14:paraId="710D82CF"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Treaty on the European Union and the Treaty on the Functioning of the European </w:t>
      </w:r>
      <w:proofErr w:type="gramStart"/>
      <w:r w:rsidRPr="003341C3">
        <w:rPr>
          <w:rFonts w:ascii="MetaSerifPro-Light" w:hAnsi="MetaSerifPro-Light" w:cs="MetaSerifPro-Light"/>
          <w:sz w:val="20"/>
          <w:szCs w:val="20"/>
        </w:rPr>
        <w:t>Union;</w:t>
      </w:r>
      <w:proofErr w:type="gramEnd"/>
    </w:p>
    <w:p w14:paraId="2E603F67" w14:textId="77777777" w:rsidR="0042202C"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the Conclusions of the European Council of 1993 which established the requirements a country must fulfil in order to be eligible to join the European Union (the Copenhagen criteria</w:t>
      </w:r>
      <w:proofErr w:type="gramStart"/>
      <w:r w:rsidRPr="003341C3">
        <w:rPr>
          <w:rFonts w:ascii="MetaSerifPro-Light" w:hAnsi="MetaSerifPro-Light" w:cs="MetaSerifPro-Light"/>
          <w:sz w:val="20"/>
          <w:szCs w:val="20"/>
        </w:rPr>
        <w:t>);</w:t>
      </w:r>
      <w:proofErr w:type="gramEnd"/>
    </w:p>
    <w:p w14:paraId="3D6D242A" w14:textId="77777777" w:rsidR="00925486" w:rsidRPr="003341C3" w:rsidRDefault="00925486" w:rsidP="0042202C">
      <w:pPr>
        <w:pStyle w:val="ListParagraph"/>
        <w:numPr>
          <w:ilvl w:val="0"/>
          <w:numId w:val="3"/>
        </w:numPr>
        <w:rPr>
          <w:rFonts w:ascii="MetaSerifPro-Light" w:hAnsi="MetaSerifPro-Light" w:cs="MetaSerifPro-Light"/>
          <w:sz w:val="20"/>
          <w:szCs w:val="20"/>
        </w:rPr>
      </w:pPr>
      <w:r w:rsidRPr="003341C3">
        <w:rPr>
          <w:rFonts w:ascii="MetaSerifPro-Light" w:hAnsi="MetaSerifPro-Light" w:cs="MetaSerifPro-Light"/>
          <w:sz w:val="20"/>
          <w:szCs w:val="20"/>
        </w:rPr>
        <w:t xml:space="preserve">the Conference on the Future of Europe launched by the European Commission, the Council of the European Union and the European </w:t>
      </w:r>
      <w:proofErr w:type="gramStart"/>
      <w:r w:rsidRPr="003341C3">
        <w:rPr>
          <w:rFonts w:ascii="MetaSerifPro-Light" w:hAnsi="MetaSerifPro-Light" w:cs="MetaSerifPro-Light"/>
          <w:sz w:val="20"/>
          <w:szCs w:val="20"/>
        </w:rPr>
        <w:t>Parliament;</w:t>
      </w:r>
      <w:proofErr w:type="gramEnd"/>
      <w:r w:rsidRPr="003341C3">
        <w:rPr>
          <w:rFonts w:ascii="MetaSerifPro-Light" w:hAnsi="MetaSerifPro-Light" w:cs="MetaSerifPro-Light"/>
          <w:sz w:val="20"/>
          <w:szCs w:val="20"/>
        </w:rPr>
        <w:t xml:space="preserve"> </w:t>
      </w:r>
    </w:p>
    <w:p w14:paraId="1F113F9E" w14:textId="77777777" w:rsidR="00925486" w:rsidRPr="0042202C" w:rsidRDefault="00925486" w:rsidP="00925486">
      <w:pPr>
        <w:jc w:val="both"/>
        <w:rPr>
          <w:rFonts w:ascii="MetaSerifPro-Book" w:hAnsi="MetaSerifPro-Book" w:cs="MetaSerifPro-Book"/>
          <w:sz w:val="20"/>
          <w:szCs w:val="20"/>
          <w:lang w:val="en-GB" w:eastAsia="ii-CN"/>
        </w:rPr>
      </w:pPr>
    </w:p>
    <w:p w14:paraId="73C25A80" w14:textId="77777777" w:rsidR="00925486" w:rsidRPr="0042202C" w:rsidRDefault="00925486" w:rsidP="00925486">
      <w:pPr>
        <w:jc w:val="both"/>
        <w:rPr>
          <w:rFonts w:ascii="MetaSerifPro-Book" w:hAnsi="MetaSerifPro-Book" w:cs="MetaSerifPro-Book"/>
          <w:b/>
          <w:bCs/>
          <w:sz w:val="20"/>
          <w:szCs w:val="20"/>
          <w:lang w:val="en-GB" w:eastAsia="ii-CN"/>
        </w:rPr>
      </w:pPr>
    </w:p>
    <w:p w14:paraId="0216D2FF" w14:textId="77777777" w:rsidR="00925486" w:rsidRPr="003341C3" w:rsidRDefault="00925486" w:rsidP="00925486">
      <w:pPr>
        <w:jc w:val="both"/>
        <w:rPr>
          <w:rFonts w:ascii="MetaSerifPro-Bold" w:hAnsi="MetaSerifPro-Bold" w:cs="MetaSerifPro-Bold"/>
          <w:b/>
          <w:bCs/>
          <w:sz w:val="20"/>
          <w:szCs w:val="20"/>
          <w:lang w:val="en-GB" w:eastAsia="ii-CN"/>
        </w:rPr>
      </w:pPr>
      <w:r w:rsidRPr="003341C3">
        <w:rPr>
          <w:rFonts w:ascii="MetaSerifPro-Bold" w:hAnsi="MetaSerifPro-Bold" w:cs="MetaSerifPro-Bold"/>
          <w:b/>
          <w:bCs/>
          <w:sz w:val="20"/>
          <w:szCs w:val="20"/>
          <w:lang w:val="en-GB" w:eastAsia="ii-CN"/>
        </w:rPr>
        <w:t>the Federal Union of European Nationalities:</w:t>
      </w:r>
    </w:p>
    <w:p w14:paraId="40A922BB" w14:textId="77777777" w:rsidR="00925486" w:rsidRPr="0042202C" w:rsidRDefault="00925486" w:rsidP="00925486">
      <w:pPr>
        <w:jc w:val="both"/>
        <w:rPr>
          <w:rFonts w:ascii="MetaSerifPro-Book" w:hAnsi="MetaSerifPro-Book" w:cs="MetaSerifPro-Book"/>
          <w:sz w:val="20"/>
          <w:szCs w:val="20"/>
          <w:lang w:val="en-GB" w:eastAsia="ii-CN"/>
        </w:rPr>
      </w:pPr>
    </w:p>
    <w:p w14:paraId="33A62C37" w14:textId="77777777" w:rsidR="00925486" w:rsidRPr="003341C3" w:rsidRDefault="00925486" w:rsidP="00925486">
      <w:pPr>
        <w:jc w:val="both"/>
        <w:rPr>
          <w:rFonts w:ascii="MetaSerifPro-Light" w:hAnsi="MetaSerifPro-Light" w:cs="MetaSerifPro-Light"/>
          <w:sz w:val="20"/>
          <w:szCs w:val="20"/>
          <w:lang w:val="en-GB" w:eastAsia="ii-CN"/>
        </w:rPr>
      </w:pPr>
      <w:r w:rsidRPr="003341C3">
        <w:rPr>
          <w:rFonts w:ascii="MetaSerifPro-Light" w:hAnsi="MetaSerifPro-Light" w:cs="MetaSerifPro-Light"/>
          <w:color w:val="000000" w:themeColor="text1"/>
          <w:sz w:val="20"/>
          <w:szCs w:val="20"/>
          <w:lang w:val="en-GB" w:eastAsia="ii-CN"/>
        </w:rPr>
        <w:t xml:space="preserve">Welcomes </w:t>
      </w:r>
      <w:r w:rsidR="00AF70F2" w:rsidRPr="003341C3">
        <w:rPr>
          <w:rFonts w:ascii="MetaSerifPro-Light" w:hAnsi="MetaSerifPro-Light" w:cs="MetaSerifPro-Light"/>
          <w:color w:val="000000" w:themeColor="text1"/>
          <w:sz w:val="20"/>
          <w:szCs w:val="20"/>
          <w:lang w:val="en-GB" w:eastAsia="ii-CN"/>
        </w:rPr>
        <w:t>the Conference on the Future of Europe, a</w:t>
      </w:r>
      <w:r w:rsidRPr="003341C3">
        <w:rPr>
          <w:rFonts w:ascii="MetaSerifPro-Light" w:hAnsi="MetaSerifPro-Light" w:cs="MetaSerifPro-Light"/>
          <w:color w:val="000000" w:themeColor="text1"/>
          <w:sz w:val="20"/>
          <w:szCs w:val="20"/>
          <w:lang w:val="en-GB" w:eastAsia="ii-CN"/>
        </w:rPr>
        <w:t xml:space="preserve"> </w:t>
      </w:r>
      <w:r w:rsidR="00AF70F2" w:rsidRPr="003341C3">
        <w:rPr>
          <w:rFonts w:ascii="MetaSerifPro-Light" w:hAnsi="MetaSerifPro-Light" w:cs="MetaSerifPro-Light"/>
          <w:color w:val="000000" w:themeColor="text1"/>
          <w:sz w:val="20"/>
          <w:szCs w:val="20"/>
          <w:lang w:val="en-GB" w:eastAsia="ii-CN"/>
        </w:rPr>
        <w:t>much</w:t>
      </w:r>
      <w:r w:rsidR="00DF278D" w:rsidRPr="003341C3">
        <w:rPr>
          <w:rFonts w:ascii="MetaSerifPro-Light" w:hAnsi="MetaSerifPro-Light" w:cs="MetaSerifPro-Light"/>
          <w:color w:val="000000" w:themeColor="text1"/>
          <w:sz w:val="20"/>
          <w:szCs w:val="20"/>
          <w:lang w:val="en-GB" w:eastAsia="ii-CN"/>
        </w:rPr>
        <w:t>-</w:t>
      </w:r>
      <w:r w:rsidR="00AF70F2" w:rsidRPr="003341C3">
        <w:rPr>
          <w:rFonts w:ascii="MetaSerifPro-Light" w:hAnsi="MetaSerifPro-Light" w:cs="MetaSerifPro-Light"/>
          <w:color w:val="000000" w:themeColor="text1"/>
          <w:sz w:val="20"/>
          <w:szCs w:val="20"/>
          <w:lang w:val="en-GB" w:eastAsia="ii-CN"/>
        </w:rPr>
        <w:t xml:space="preserve">needed </w:t>
      </w:r>
      <w:r w:rsidRPr="003341C3">
        <w:rPr>
          <w:rFonts w:ascii="MetaSerifPro-Light" w:hAnsi="MetaSerifPro-Light" w:cs="MetaSerifPro-Light"/>
          <w:color w:val="000000" w:themeColor="text1"/>
          <w:sz w:val="20"/>
          <w:szCs w:val="20"/>
          <w:lang w:val="en-GB" w:eastAsia="ii-CN"/>
        </w:rPr>
        <w:t xml:space="preserve">process of participatory democracy; </w:t>
      </w:r>
      <w:r w:rsidRPr="003341C3">
        <w:rPr>
          <w:rFonts w:ascii="MetaSerifPro-Light" w:hAnsi="MetaSerifPro-Light" w:cs="MetaSerifPro-Light"/>
          <w:sz w:val="20"/>
          <w:szCs w:val="20"/>
          <w:lang w:val="en-GB" w:eastAsia="ii-CN"/>
        </w:rPr>
        <w:t>considers it useful for the institutions of the European Union to provide for an open debate with citizens around their priorities for the EU</w:t>
      </w:r>
      <w:r w:rsidR="00AF70F2" w:rsidRPr="003341C3">
        <w:rPr>
          <w:rFonts w:ascii="MetaSerifPro-Light" w:hAnsi="MetaSerifPro-Light" w:cs="MetaSerifPro-Light"/>
          <w:sz w:val="20"/>
          <w:szCs w:val="20"/>
          <w:lang w:val="en-GB" w:eastAsia="ii-CN"/>
        </w:rPr>
        <w:t>.</w:t>
      </w:r>
    </w:p>
    <w:p w14:paraId="08FB0104" w14:textId="77777777" w:rsidR="00925486" w:rsidRPr="003341C3" w:rsidRDefault="00925486" w:rsidP="00925486">
      <w:pPr>
        <w:jc w:val="both"/>
        <w:rPr>
          <w:rFonts w:ascii="MetaSerifPro-Light" w:hAnsi="MetaSerifPro-Light" w:cs="MetaSerifPro-Light"/>
          <w:sz w:val="20"/>
          <w:szCs w:val="20"/>
          <w:lang w:val="en-GB" w:eastAsia="ii-CN"/>
        </w:rPr>
      </w:pPr>
    </w:p>
    <w:p w14:paraId="2062B16D" w14:textId="77777777" w:rsidR="00925486" w:rsidRPr="003341C3" w:rsidRDefault="00925486" w:rsidP="00925486">
      <w:pPr>
        <w:jc w:val="both"/>
        <w:rPr>
          <w:rFonts w:ascii="MetaSerifPro-Light" w:hAnsi="MetaSerifPro-Light" w:cs="MetaSerifPro-Light"/>
          <w:sz w:val="20"/>
          <w:szCs w:val="20"/>
          <w:lang w:val="en-GB" w:eastAsia="ii-CN"/>
        </w:rPr>
      </w:pPr>
      <w:r w:rsidRPr="003341C3">
        <w:rPr>
          <w:rFonts w:ascii="MetaSerifPro-Light" w:hAnsi="MetaSerifPro-Light" w:cs="MetaSerifPro-Light"/>
          <w:sz w:val="20"/>
          <w:szCs w:val="20"/>
          <w:lang w:val="en-GB" w:eastAsia="ii-CN"/>
        </w:rPr>
        <w:t>Reiterates its strong disappointment regarding the Commission’s dismissal of the Minority SafePack European Citizens’ Initiative calling for legislative acts for the protection of the EU’s national and linguistic minorities, the founding values of the Union and Europe’s linguistic and cultural heritage; expresses nevertheless its hope that within the Conference due consideration will be given to citizens’ calls for the EU to act on behalf of national and linguistic minorities</w:t>
      </w:r>
      <w:r w:rsidR="00AF70F2" w:rsidRPr="003341C3">
        <w:rPr>
          <w:rFonts w:ascii="MetaSerifPro-Light" w:hAnsi="MetaSerifPro-Light" w:cs="MetaSerifPro-Light"/>
          <w:sz w:val="20"/>
          <w:szCs w:val="20"/>
          <w:lang w:val="en-GB" w:eastAsia="ii-CN"/>
        </w:rPr>
        <w:t>.</w:t>
      </w:r>
    </w:p>
    <w:p w14:paraId="053D5434" w14:textId="77777777" w:rsidR="00925486" w:rsidRPr="003341C3" w:rsidRDefault="00925486" w:rsidP="00925486">
      <w:pPr>
        <w:shd w:val="clear" w:color="auto" w:fill="FFFFFF"/>
        <w:spacing w:before="100" w:beforeAutospacing="1" w:after="100" w:afterAutospacing="1"/>
        <w:jc w:val="both"/>
        <w:rPr>
          <w:rFonts w:ascii="MetaSerifPro-Light" w:eastAsia="Times New Roman" w:hAnsi="MetaSerifPro-Light" w:cs="MetaSerifPro-Light"/>
          <w:sz w:val="20"/>
          <w:szCs w:val="20"/>
          <w:lang w:val="en-GB" w:eastAsia="ko-KR"/>
        </w:rPr>
      </w:pPr>
      <w:r w:rsidRPr="003341C3">
        <w:rPr>
          <w:rFonts w:ascii="MetaSerifPro-Light" w:eastAsia="Times New Roman" w:hAnsi="MetaSerifPro-Light" w:cs="MetaSerifPro-Light"/>
          <w:sz w:val="20"/>
          <w:szCs w:val="20"/>
          <w:lang w:val="en-GB" w:eastAsia="ko-KR"/>
        </w:rPr>
        <w:t xml:space="preserve">Points out that </w:t>
      </w:r>
      <w:proofErr w:type="gramStart"/>
      <w:r w:rsidRPr="003341C3">
        <w:rPr>
          <w:rFonts w:ascii="MetaSerifPro-Light" w:eastAsia="Times New Roman" w:hAnsi="MetaSerifPro-Light" w:cs="MetaSerifPro-Light"/>
          <w:sz w:val="20"/>
          <w:szCs w:val="20"/>
          <w:lang w:val="en-GB" w:eastAsia="ko-KR"/>
        </w:rPr>
        <w:t>despite the fact that</w:t>
      </w:r>
      <w:proofErr w:type="gramEnd"/>
      <w:r w:rsidRPr="003341C3">
        <w:rPr>
          <w:rFonts w:ascii="MetaSerifPro-Light" w:eastAsia="Times New Roman" w:hAnsi="MetaSerifPro-Light" w:cs="MetaSerifPro-Light"/>
          <w:sz w:val="20"/>
          <w:szCs w:val="20"/>
          <w:lang w:val="en-GB" w:eastAsia="ko-KR"/>
        </w:rPr>
        <w:t xml:space="preserve"> the European Union is today one of the most important guarantors of the respect of the rule of law and fundamental rights and that the EU Treaties enshrine the protection of minorities and recognise the importance of cultural and linguistic diversity, a consistent policy for the protection of national and linguistic minorities at EU-level is still lacking</w:t>
      </w:r>
      <w:r w:rsidR="00AF70F2" w:rsidRPr="003341C3">
        <w:rPr>
          <w:rFonts w:ascii="MetaSerifPro-Light" w:eastAsia="Times New Roman" w:hAnsi="MetaSerifPro-Light" w:cs="MetaSerifPro-Light"/>
          <w:sz w:val="20"/>
          <w:szCs w:val="20"/>
          <w:lang w:val="en-GB" w:eastAsia="ko-KR"/>
        </w:rPr>
        <w:t>.</w:t>
      </w:r>
    </w:p>
    <w:p w14:paraId="1CD40BCF" w14:textId="5A2C0459" w:rsidR="00925486" w:rsidRPr="003341C3" w:rsidRDefault="00925486" w:rsidP="00925486">
      <w:pPr>
        <w:jc w:val="both"/>
        <w:rPr>
          <w:rFonts w:ascii="MetaSerifPro-Light" w:hAnsi="MetaSerifPro-Light" w:cs="MetaSerifPro-Light"/>
          <w:sz w:val="20"/>
          <w:szCs w:val="20"/>
          <w:lang w:val="en-GB" w:eastAsia="ii-CN"/>
        </w:rPr>
      </w:pPr>
      <w:r w:rsidRPr="003341C3">
        <w:rPr>
          <w:rFonts w:ascii="MetaSerifPro-Light" w:hAnsi="MetaSerifPro-Light" w:cs="MetaSerifPro-Light"/>
          <w:sz w:val="20"/>
          <w:szCs w:val="20"/>
          <w:lang w:val="en-GB" w:eastAsia="ii-CN"/>
        </w:rPr>
        <w:lastRenderedPageBreak/>
        <w:t>Considers that that the European Union has to depart from its current practice and recognise its national and linguistic</w:t>
      </w:r>
      <w:r w:rsidRPr="0031695B">
        <w:rPr>
          <w:rFonts w:ascii="MetaSerifPro-Light" w:hAnsi="MetaSerifPro-Light" w:cs="MetaSerifPro-Light"/>
          <w:sz w:val="20"/>
          <w:szCs w:val="20"/>
          <w:lang w:val="en-GB" w:eastAsia="ii-CN"/>
        </w:rPr>
        <w:t xml:space="preserve"> </w:t>
      </w:r>
      <w:r w:rsidR="003341C3" w:rsidRPr="0031695B">
        <w:rPr>
          <w:rFonts w:ascii="MetaSerifPro-Light" w:hAnsi="MetaSerifPro-Light" w:cs="MetaSerifPro-Light"/>
          <w:sz w:val="20"/>
          <w:szCs w:val="20"/>
          <w:lang w:val="en-GB" w:eastAsia="ii-CN"/>
        </w:rPr>
        <w:t xml:space="preserve">minorities </w:t>
      </w:r>
      <w:r w:rsidRPr="003341C3">
        <w:rPr>
          <w:rFonts w:ascii="MetaSerifPro-Light" w:hAnsi="MetaSerifPro-Light" w:cs="MetaSerifPro-Light"/>
          <w:sz w:val="20"/>
          <w:szCs w:val="20"/>
          <w:lang w:val="en-GB" w:eastAsia="ii-CN"/>
        </w:rPr>
        <w:t>as a value and act for the protection of this value; highlights that even within a narrow interpretation of the EU treaties in force, the EU has the capacity to build a policy framework for the benefit persons belonging to national and linguistic minorities, as it has been confirmed by the Court of Justice of the EU in its ruling on the Minority SafePack ECI” (Case T-391/17).</w:t>
      </w:r>
    </w:p>
    <w:p w14:paraId="0DD5D187" w14:textId="77777777" w:rsidR="00925486" w:rsidRPr="003341C3" w:rsidRDefault="00925486" w:rsidP="00925486">
      <w:pPr>
        <w:jc w:val="both"/>
        <w:rPr>
          <w:rFonts w:ascii="MetaSerifPro-Light" w:hAnsi="MetaSerifPro-Light" w:cs="MetaSerifPro-Light"/>
          <w:sz w:val="20"/>
          <w:szCs w:val="20"/>
          <w:lang w:val="en-GB" w:eastAsia="ii-CN"/>
        </w:rPr>
      </w:pPr>
    </w:p>
    <w:p w14:paraId="5ED3ECE7" w14:textId="77777777" w:rsidR="00925486" w:rsidRPr="003341C3" w:rsidRDefault="00925486" w:rsidP="00925486">
      <w:pPr>
        <w:jc w:val="both"/>
        <w:rPr>
          <w:rFonts w:ascii="MetaSerifPro-Light" w:hAnsi="MetaSerifPro-Light" w:cs="MetaSerifPro-Light"/>
          <w:sz w:val="20"/>
          <w:szCs w:val="20"/>
          <w:lang w:val="en-GB" w:eastAsia="ii-CN"/>
        </w:rPr>
      </w:pPr>
      <w:r w:rsidRPr="003341C3">
        <w:rPr>
          <w:rFonts w:ascii="MetaSerifPro-Light" w:hAnsi="MetaSerifPro-Light" w:cs="MetaSerifPro-Light"/>
          <w:sz w:val="20"/>
          <w:szCs w:val="20"/>
          <w:lang w:val="en-GB" w:eastAsia="ii-CN"/>
        </w:rPr>
        <w:t xml:space="preserve">By using the opportunity provided by the Conference on the Future of Europe, calls on the European Commission to take urgent action on behalf of national and linguistic minority communities, </w:t>
      </w:r>
      <w:proofErr w:type="gramStart"/>
      <w:r w:rsidRPr="003341C3">
        <w:rPr>
          <w:rFonts w:ascii="MetaSerifPro-Light" w:hAnsi="MetaSerifPro-Light" w:cs="MetaSerifPro-Light"/>
          <w:sz w:val="20"/>
          <w:szCs w:val="20"/>
          <w:lang w:val="en-GB" w:eastAsia="ii-CN"/>
        </w:rPr>
        <w:t>cultures</w:t>
      </w:r>
      <w:proofErr w:type="gramEnd"/>
      <w:r w:rsidRPr="003341C3">
        <w:rPr>
          <w:rFonts w:ascii="MetaSerifPro-Light" w:hAnsi="MetaSerifPro-Light" w:cs="MetaSerifPro-Light"/>
          <w:sz w:val="20"/>
          <w:szCs w:val="20"/>
          <w:lang w:val="en-GB" w:eastAsia="ii-CN"/>
        </w:rPr>
        <w:t xml:space="preserve"> and languages both within the confines of the current treaties and - in case of an upcoming Treaty revision - beyond them.</w:t>
      </w:r>
    </w:p>
    <w:p w14:paraId="033430FD" w14:textId="77777777" w:rsidR="00925486" w:rsidRPr="003341C3" w:rsidRDefault="00925486" w:rsidP="00925486">
      <w:pPr>
        <w:shd w:val="clear" w:color="auto" w:fill="FFFFFF"/>
        <w:spacing w:before="100" w:beforeAutospacing="1" w:after="100" w:afterAutospacing="1"/>
        <w:jc w:val="both"/>
        <w:rPr>
          <w:rFonts w:ascii="MetaSerifPro-Bold" w:eastAsia="Times New Roman" w:hAnsi="MetaSerifPro-Bold" w:cs="MetaSerifPro-Bold"/>
          <w:b/>
          <w:bCs/>
          <w:sz w:val="20"/>
          <w:szCs w:val="20"/>
          <w:lang w:val="en-GB" w:eastAsia="ko-KR"/>
        </w:rPr>
      </w:pPr>
      <w:r w:rsidRPr="003341C3">
        <w:rPr>
          <w:rFonts w:ascii="MetaSerifPro-Bold" w:eastAsia="Times New Roman" w:hAnsi="MetaSerifPro-Bold" w:cs="MetaSerifPro-Bold"/>
          <w:b/>
          <w:bCs/>
          <w:sz w:val="20"/>
          <w:szCs w:val="20"/>
          <w:lang w:val="en-GB" w:eastAsia="ko-KR"/>
        </w:rPr>
        <w:t>Calls therefore on the European Commission to:</w:t>
      </w:r>
    </w:p>
    <w:p w14:paraId="04480FF0"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fully incorporate the monitoring of the situation of national and linguistic minorities within its rule-of-law </w:t>
      </w:r>
      <w:proofErr w:type="gramStart"/>
      <w:r w:rsidRPr="003341C3">
        <w:rPr>
          <w:rFonts w:ascii="MetaSerifPro-Light" w:eastAsia="Times New Roman" w:hAnsi="MetaSerifPro-Light" w:cs="MetaSerifPro-Light"/>
          <w:sz w:val="20"/>
          <w:szCs w:val="20"/>
          <w:lang w:eastAsia="ko-KR"/>
        </w:rPr>
        <w:t>mechanism;</w:t>
      </w:r>
      <w:proofErr w:type="gramEnd"/>
    </w:p>
    <w:p w14:paraId="5B981C3E"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make use of the Open Method of Coordination to provide recommendations to </w:t>
      </w:r>
      <w:r w:rsidRPr="003341C3">
        <w:rPr>
          <w:rFonts w:ascii="MetaSerifPro-Light" w:eastAsia="Times New Roman" w:hAnsi="MetaSerifPro-Light" w:cs="MetaSerifPro-Light"/>
          <w:color w:val="000000" w:themeColor="text1"/>
          <w:sz w:val="20"/>
          <w:szCs w:val="20"/>
          <w:lang w:eastAsia="ko-KR"/>
        </w:rPr>
        <w:t xml:space="preserve">Member States or to promote the sharing of available best practices </w:t>
      </w:r>
      <w:r w:rsidR="00DF278D" w:rsidRPr="003341C3">
        <w:rPr>
          <w:rFonts w:ascii="MetaSerifPro-Light" w:eastAsia="Times New Roman" w:hAnsi="MetaSerifPro-Light" w:cs="MetaSerifPro-Light"/>
          <w:color w:val="000000" w:themeColor="text1"/>
          <w:sz w:val="20"/>
          <w:szCs w:val="20"/>
          <w:lang w:eastAsia="ko-KR"/>
        </w:rPr>
        <w:t>in</w:t>
      </w:r>
      <w:r w:rsidRPr="003341C3">
        <w:rPr>
          <w:rFonts w:ascii="MetaSerifPro-Light" w:eastAsia="Times New Roman" w:hAnsi="MetaSerifPro-Light" w:cs="MetaSerifPro-Light"/>
          <w:color w:val="000000" w:themeColor="text1"/>
          <w:sz w:val="20"/>
          <w:szCs w:val="20"/>
          <w:lang w:eastAsia="ko-KR"/>
        </w:rPr>
        <w:t xml:space="preserve"> the </w:t>
      </w:r>
      <w:r w:rsidR="00AF70F2" w:rsidRPr="003341C3">
        <w:rPr>
          <w:rFonts w:ascii="MetaSerifPro-Light" w:eastAsia="Times New Roman" w:hAnsi="MetaSerifPro-Light" w:cs="MetaSerifPro-Light"/>
          <w:color w:val="000000" w:themeColor="text1"/>
          <w:sz w:val="20"/>
          <w:szCs w:val="20"/>
          <w:lang w:eastAsia="ko-KR"/>
        </w:rPr>
        <w:t xml:space="preserve">field of minority </w:t>
      </w:r>
      <w:proofErr w:type="gramStart"/>
      <w:r w:rsidR="00AF70F2" w:rsidRPr="003341C3">
        <w:rPr>
          <w:rFonts w:ascii="MetaSerifPro-Light" w:eastAsia="Times New Roman" w:hAnsi="MetaSerifPro-Light" w:cs="MetaSerifPro-Light"/>
          <w:color w:val="000000" w:themeColor="text1"/>
          <w:sz w:val="20"/>
          <w:szCs w:val="20"/>
          <w:lang w:eastAsia="ko-KR"/>
        </w:rPr>
        <w:t>protection</w:t>
      </w:r>
      <w:r w:rsidRPr="003341C3">
        <w:rPr>
          <w:rFonts w:ascii="MetaSerifPro-Light" w:eastAsia="Times New Roman" w:hAnsi="MetaSerifPro-Light" w:cs="MetaSerifPro-Light"/>
          <w:color w:val="000000" w:themeColor="text1"/>
          <w:sz w:val="20"/>
          <w:szCs w:val="20"/>
          <w:lang w:eastAsia="ko-KR"/>
        </w:rPr>
        <w:t>;</w:t>
      </w:r>
      <w:proofErr w:type="gramEnd"/>
    </w:p>
    <w:p w14:paraId="75804DE1"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draw up, in line with the request of the European Parliament a common framework of EU minimum standards for the protection of rights of persons belonging to minorities, which are strongly embedded in a legal framework guaranteeing democracy, the rule of law and fundamental rights throughout the </w:t>
      </w:r>
      <w:proofErr w:type="gramStart"/>
      <w:r w:rsidRPr="003341C3">
        <w:rPr>
          <w:rFonts w:ascii="MetaSerifPro-Light" w:eastAsia="Times New Roman" w:hAnsi="MetaSerifPro-Light" w:cs="MetaSerifPro-Light"/>
          <w:sz w:val="20"/>
          <w:szCs w:val="20"/>
          <w:lang w:eastAsia="ko-KR"/>
        </w:rPr>
        <w:t>EU;</w:t>
      </w:r>
      <w:proofErr w:type="gramEnd"/>
    </w:p>
    <w:p w14:paraId="563899B6"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initiate and engage in a mutually reinforcing cooperation with the Council of Europe in the area of protecting the rights of national and linguistic minorities, building on achievements and experience of the Council of Europe in the area of the Framework Convention for the Protection of National Minorities and the European Charter for Regional or Minority Languages and to include their recommendations in its rule-of-law </w:t>
      </w:r>
      <w:proofErr w:type="gramStart"/>
      <w:r w:rsidRPr="003341C3">
        <w:rPr>
          <w:rFonts w:ascii="MetaSerifPro-Light" w:eastAsia="Times New Roman" w:hAnsi="MetaSerifPro-Light" w:cs="MetaSerifPro-Light"/>
          <w:sz w:val="20"/>
          <w:szCs w:val="20"/>
          <w:lang w:eastAsia="ko-KR"/>
        </w:rPr>
        <w:t>mechanism;</w:t>
      </w:r>
      <w:proofErr w:type="gramEnd"/>
    </w:p>
    <w:p w14:paraId="546DC763"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actively encourage all Member Countries, who have not yet signed up to or ratified the Framework Convention for the Protection of National Minorities and the European Charter for Regional or Minority Languages to </w:t>
      </w:r>
      <w:r w:rsidR="00AF70F2" w:rsidRPr="003341C3">
        <w:rPr>
          <w:rFonts w:ascii="MetaSerifPro-Light" w:eastAsia="Times New Roman" w:hAnsi="MetaSerifPro-Light" w:cs="MetaSerifPro-Light"/>
          <w:sz w:val="20"/>
          <w:szCs w:val="20"/>
          <w:lang w:eastAsia="ko-KR"/>
        </w:rPr>
        <w:t>do</w:t>
      </w:r>
      <w:r w:rsidRPr="003341C3">
        <w:rPr>
          <w:rFonts w:ascii="MetaSerifPro-Light" w:eastAsia="Times New Roman" w:hAnsi="MetaSerifPro-Light" w:cs="MetaSerifPro-Light"/>
          <w:sz w:val="20"/>
          <w:szCs w:val="20"/>
          <w:lang w:eastAsia="ko-KR"/>
        </w:rPr>
        <w:t xml:space="preserve"> </w:t>
      </w:r>
      <w:proofErr w:type="gramStart"/>
      <w:r w:rsidRPr="003341C3">
        <w:rPr>
          <w:rFonts w:ascii="MetaSerifPro-Light" w:eastAsia="Times New Roman" w:hAnsi="MetaSerifPro-Light" w:cs="MetaSerifPro-Light"/>
          <w:sz w:val="20"/>
          <w:szCs w:val="20"/>
          <w:lang w:eastAsia="ko-KR"/>
        </w:rPr>
        <w:t>so;</w:t>
      </w:r>
      <w:proofErr w:type="gramEnd"/>
    </w:p>
    <w:p w14:paraId="12870CDD"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take urgent action for the protection of the EU’s endangered minority languages, including through the creation of a European Language Diversity Centre as it has been called for both by the European Parliament and the Minority SafePack European Citizens’ </w:t>
      </w:r>
      <w:proofErr w:type="gramStart"/>
      <w:r w:rsidRPr="003341C3">
        <w:rPr>
          <w:rFonts w:ascii="MetaSerifPro-Light" w:eastAsia="Times New Roman" w:hAnsi="MetaSerifPro-Light" w:cs="MetaSerifPro-Light"/>
          <w:sz w:val="20"/>
          <w:szCs w:val="20"/>
          <w:lang w:eastAsia="ko-KR"/>
        </w:rPr>
        <w:t>Initiative;</w:t>
      </w:r>
      <w:proofErr w:type="gramEnd"/>
    </w:p>
    <w:p w14:paraId="62054357"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issue a strategy for the protection of its citizens belonging to national and linguistic minorities, akin to the LGBTIQ Equality Strategy 2020-2025 and the EU Roma strategic </w:t>
      </w:r>
      <w:proofErr w:type="gramStart"/>
      <w:r w:rsidRPr="003341C3">
        <w:rPr>
          <w:rFonts w:ascii="MetaSerifPro-Light" w:eastAsia="Times New Roman" w:hAnsi="MetaSerifPro-Light" w:cs="MetaSerifPro-Light"/>
          <w:sz w:val="20"/>
          <w:szCs w:val="20"/>
          <w:lang w:eastAsia="ko-KR"/>
        </w:rPr>
        <w:t>framework;</w:t>
      </w:r>
      <w:proofErr w:type="gramEnd"/>
    </w:p>
    <w:p w14:paraId="7EF53E43"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issue a Draft Council Recommendation for the protection of national and linguistic minorities, as it has been requested in the Minority SafePack European </w:t>
      </w:r>
      <w:proofErr w:type="gramStart"/>
      <w:r w:rsidRPr="003341C3">
        <w:rPr>
          <w:rFonts w:ascii="MetaSerifPro-Light" w:eastAsia="Times New Roman" w:hAnsi="MetaSerifPro-Light" w:cs="MetaSerifPro-Light"/>
          <w:sz w:val="20"/>
          <w:szCs w:val="20"/>
          <w:lang w:eastAsia="ko-KR"/>
        </w:rPr>
        <w:t>Citizens’Initiative;</w:t>
      </w:r>
      <w:proofErr w:type="gramEnd"/>
    </w:p>
    <w:p w14:paraId="2162927E" w14:textId="77777777" w:rsidR="00925486" w:rsidRPr="003341C3" w:rsidRDefault="00FF590F"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color w:val="000000" w:themeColor="text1"/>
          <w:sz w:val="20"/>
          <w:szCs w:val="20"/>
          <w:lang w:eastAsia="ko-KR"/>
        </w:rPr>
      </w:pPr>
      <w:r w:rsidRPr="003341C3">
        <w:rPr>
          <w:rFonts w:ascii="MetaSerifPro-Light" w:eastAsia="Times New Roman" w:hAnsi="MetaSerifPro-Light" w:cs="MetaSerifPro-Light"/>
          <w:color w:val="000000" w:themeColor="text1"/>
          <w:sz w:val="20"/>
          <w:szCs w:val="20"/>
          <w:lang w:eastAsia="ko-KR"/>
        </w:rPr>
        <w:t>to i</w:t>
      </w:r>
      <w:r w:rsidR="00DF278D" w:rsidRPr="003341C3">
        <w:rPr>
          <w:rFonts w:ascii="MetaSerifPro-Light" w:eastAsia="Times New Roman" w:hAnsi="MetaSerifPro-Light" w:cs="MetaSerifPro-Light"/>
          <w:color w:val="000000" w:themeColor="text1"/>
          <w:sz w:val="20"/>
          <w:szCs w:val="20"/>
          <w:lang w:eastAsia="ko-KR"/>
        </w:rPr>
        <w:t>nclude the added value of multilingualism and intercultural skills of national minorities in EU development strategies and funding programmes, such as the European Regional Development Fund (ERDF) and the European Social Fund (ESF</w:t>
      </w:r>
      <w:proofErr w:type="gramStart"/>
      <w:r w:rsidR="00DF278D" w:rsidRPr="003341C3">
        <w:rPr>
          <w:rFonts w:ascii="MetaSerifPro-Light" w:eastAsia="Times New Roman" w:hAnsi="MetaSerifPro-Light" w:cs="MetaSerifPro-Light"/>
          <w:color w:val="000000" w:themeColor="text1"/>
          <w:sz w:val="20"/>
          <w:szCs w:val="20"/>
          <w:lang w:eastAsia="ko-KR"/>
        </w:rPr>
        <w:t>);</w:t>
      </w:r>
      <w:proofErr w:type="gramEnd"/>
    </w:p>
    <w:p w14:paraId="5D9AB2E1" w14:textId="77777777" w:rsidR="00925486" w:rsidRPr="003341C3" w:rsidRDefault="00925486" w:rsidP="0042202C">
      <w:pPr>
        <w:pStyle w:val="ListParagraph"/>
        <w:numPr>
          <w:ilvl w:val="0"/>
          <w:numId w:val="4"/>
        </w:numPr>
        <w:shd w:val="clear" w:color="auto" w:fill="FFFFFF"/>
        <w:spacing w:before="100" w:beforeAutospacing="1" w:after="100" w:afterAutospacing="1"/>
        <w:rPr>
          <w:rFonts w:ascii="MetaSerifPro-Light" w:eastAsia="Times New Roman" w:hAnsi="MetaSerifPro-Light" w:cs="MetaSerifPro-Light"/>
          <w:sz w:val="20"/>
          <w:szCs w:val="20"/>
          <w:lang w:eastAsia="ko-KR"/>
        </w:rPr>
      </w:pPr>
      <w:r w:rsidRPr="003341C3">
        <w:rPr>
          <w:rFonts w:ascii="MetaSerifPro-Light" w:eastAsia="Times New Roman" w:hAnsi="MetaSerifPro-Light" w:cs="MetaSerifPro-Light"/>
          <w:sz w:val="20"/>
          <w:szCs w:val="20"/>
          <w:lang w:eastAsia="ko-KR"/>
        </w:rPr>
        <w:t xml:space="preserve">to sufficiently address the concerns of minorities </w:t>
      </w:r>
      <w:r w:rsidR="00AF70F2" w:rsidRPr="003341C3">
        <w:rPr>
          <w:rFonts w:ascii="MetaSerifPro-Light" w:eastAsia="Times New Roman" w:hAnsi="MetaSerifPro-Light" w:cs="MetaSerifPro-Light"/>
          <w:sz w:val="20"/>
          <w:szCs w:val="20"/>
          <w:lang w:eastAsia="ko-KR"/>
        </w:rPr>
        <w:t>regarding</w:t>
      </w:r>
      <w:r w:rsidRPr="003341C3">
        <w:rPr>
          <w:rFonts w:ascii="MetaSerifPro-Light" w:eastAsia="Times New Roman" w:hAnsi="MetaSerifPro-Light" w:cs="MetaSerifPro-Light"/>
          <w:sz w:val="20"/>
          <w:szCs w:val="20"/>
          <w:lang w:eastAsia="ko-KR"/>
        </w:rPr>
        <w:t xml:space="preserve"> cross-border access to media content broadcast across national borders including by providing exceptions in existing legislation for localisable linguistic minorities living in clearly defined areas so that they can view and listen to content broadcast across national borders in their mother tongue and to ensure that minority language concerns are </w:t>
      </w:r>
      <w:r w:rsidR="00AF70F2" w:rsidRPr="003341C3">
        <w:rPr>
          <w:rFonts w:ascii="MetaSerifPro-Light" w:eastAsia="Times New Roman" w:hAnsi="MetaSerifPro-Light" w:cs="MetaSerifPro-Light"/>
          <w:sz w:val="20"/>
          <w:szCs w:val="20"/>
          <w:lang w:eastAsia="ko-KR"/>
        </w:rPr>
        <w:t>included</w:t>
      </w:r>
      <w:r w:rsidRPr="003341C3">
        <w:rPr>
          <w:rFonts w:ascii="MetaSerifPro-Light" w:eastAsia="Times New Roman" w:hAnsi="MetaSerifPro-Light" w:cs="MetaSerifPro-Light"/>
          <w:sz w:val="20"/>
          <w:szCs w:val="20"/>
          <w:lang w:eastAsia="ko-KR"/>
        </w:rPr>
        <w:t xml:space="preserve"> in future regulations</w:t>
      </w:r>
      <w:r w:rsidR="00AF70F2" w:rsidRPr="003341C3">
        <w:rPr>
          <w:rFonts w:ascii="MetaSerifPro-Light" w:eastAsia="Times New Roman" w:hAnsi="MetaSerifPro-Light" w:cs="MetaSerifPro-Light"/>
          <w:sz w:val="20"/>
          <w:szCs w:val="20"/>
          <w:lang w:eastAsia="ko-KR"/>
        </w:rPr>
        <w:t>.</w:t>
      </w:r>
    </w:p>
    <w:p w14:paraId="12CD4A0B" w14:textId="0038800A" w:rsidR="0042202C" w:rsidRDefault="0042202C" w:rsidP="00925486">
      <w:pPr>
        <w:jc w:val="both"/>
        <w:rPr>
          <w:rFonts w:ascii="MetaSerifPro-Light" w:hAnsi="MetaSerifPro-Light" w:cs="MetaSerifPro-Light"/>
          <w:sz w:val="20"/>
          <w:szCs w:val="20"/>
          <w:lang w:val="en-GB" w:eastAsia="ii-CN"/>
        </w:rPr>
      </w:pPr>
    </w:p>
    <w:p w14:paraId="1294B44F" w14:textId="6DD608C6" w:rsidR="0031695B" w:rsidRDefault="0031695B" w:rsidP="00925486">
      <w:pPr>
        <w:jc w:val="both"/>
        <w:rPr>
          <w:rFonts w:ascii="MetaSerifPro-Light" w:hAnsi="MetaSerifPro-Light" w:cs="MetaSerifPro-Light"/>
          <w:sz w:val="20"/>
          <w:szCs w:val="20"/>
          <w:lang w:val="en-GB" w:eastAsia="ii-CN"/>
        </w:rPr>
      </w:pPr>
    </w:p>
    <w:p w14:paraId="471B867A" w14:textId="77777777" w:rsidR="0031695B" w:rsidRPr="003341C3" w:rsidRDefault="0031695B" w:rsidP="00925486">
      <w:pPr>
        <w:jc w:val="both"/>
        <w:rPr>
          <w:rFonts w:ascii="MetaSerifPro-Light" w:hAnsi="MetaSerifPro-Light" w:cs="MetaSerifPro-Light"/>
          <w:sz w:val="20"/>
          <w:szCs w:val="20"/>
          <w:lang w:val="en-GB" w:eastAsia="ii-CN"/>
        </w:rPr>
      </w:pPr>
    </w:p>
    <w:p w14:paraId="689E357A" w14:textId="77777777" w:rsidR="00925486" w:rsidRPr="003341C3" w:rsidRDefault="00925486" w:rsidP="00925486">
      <w:pPr>
        <w:jc w:val="both"/>
        <w:rPr>
          <w:rFonts w:ascii="MetaSerifPro-Bold" w:hAnsi="MetaSerifPro-Bold" w:cs="MetaSerifPro-Bold"/>
          <w:b/>
          <w:bCs/>
          <w:sz w:val="20"/>
          <w:szCs w:val="20"/>
          <w:lang w:val="en-GB" w:eastAsia="ii-CN"/>
        </w:rPr>
      </w:pPr>
      <w:r w:rsidRPr="003341C3">
        <w:rPr>
          <w:rFonts w:ascii="MetaSerifPro-Bold" w:hAnsi="MetaSerifPro-Bold" w:cs="MetaSerifPro-Bold"/>
          <w:b/>
          <w:bCs/>
          <w:sz w:val="20"/>
          <w:szCs w:val="20"/>
          <w:lang w:val="en-GB" w:eastAsia="ii-CN"/>
        </w:rPr>
        <w:lastRenderedPageBreak/>
        <w:t>Calls therefore on the Member States that at possible Treaty Change following the Conference on the Future of Europe to:</w:t>
      </w:r>
    </w:p>
    <w:p w14:paraId="18766CFA" w14:textId="77777777" w:rsidR="00925486" w:rsidRPr="003341C3" w:rsidRDefault="00925486" w:rsidP="00925486">
      <w:pPr>
        <w:jc w:val="both"/>
        <w:rPr>
          <w:rFonts w:ascii="MetaSerifPro-Light" w:hAnsi="MetaSerifPro-Light" w:cs="MetaSerifPro-Light"/>
          <w:sz w:val="20"/>
          <w:szCs w:val="20"/>
          <w:lang w:val="en-GB" w:eastAsia="ii-CN"/>
        </w:rPr>
      </w:pPr>
    </w:p>
    <w:p w14:paraId="123F7CA1" w14:textId="77777777" w:rsidR="00925486" w:rsidRPr="003341C3" w:rsidRDefault="00AF70F2" w:rsidP="0042202C">
      <w:pPr>
        <w:pStyle w:val="ListParagraph"/>
        <w:numPr>
          <w:ilvl w:val="0"/>
          <w:numId w:val="5"/>
        </w:numPr>
        <w:rPr>
          <w:rFonts w:ascii="MetaSerifPro-Light" w:hAnsi="MetaSerifPro-Light" w:cs="MetaSerifPro-Light"/>
          <w:sz w:val="20"/>
          <w:szCs w:val="20"/>
        </w:rPr>
      </w:pPr>
      <w:r w:rsidRPr="003341C3">
        <w:rPr>
          <w:rFonts w:ascii="MetaSerifPro-Light" w:hAnsi="MetaSerifPro-Light" w:cs="MetaSerifPro-Light"/>
          <w:sz w:val="20"/>
          <w:szCs w:val="20"/>
        </w:rPr>
        <w:t>E</w:t>
      </w:r>
      <w:r w:rsidR="00925486" w:rsidRPr="003341C3">
        <w:rPr>
          <w:rFonts w:ascii="MetaSerifPro-Light" w:hAnsi="MetaSerifPro-Light" w:cs="MetaSerifPro-Light"/>
          <w:sz w:val="20"/>
          <w:szCs w:val="20"/>
        </w:rPr>
        <w:t>xpressly include in its Treaties the protection of national and linguistic minorities and their cultures and languages as an unambiguous competence and obligation for the EU.</w:t>
      </w:r>
    </w:p>
    <w:p w14:paraId="289CDCBE" w14:textId="77777777" w:rsidR="00925486" w:rsidRPr="003341C3" w:rsidRDefault="00AF70F2" w:rsidP="0042202C">
      <w:pPr>
        <w:pStyle w:val="ListParagraph"/>
        <w:numPr>
          <w:ilvl w:val="0"/>
          <w:numId w:val="5"/>
        </w:numPr>
        <w:rPr>
          <w:rFonts w:ascii="MetaSerifPro-Light" w:hAnsi="MetaSerifPro-Light" w:cs="MetaSerifPro-Light"/>
          <w:sz w:val="20"/>
          <w:szCs w:val="20"/>
        </w:rPr>
      </w:pPr>
      <w:r w:rsidRPr="003341C3">
        <w:rPr>
          <w:rFonts w:ascii="MetaSerifPro-Light" w:hAnsi="MetaSerifPro-Light" w:cs="MetaSerifPro-Light"/>
          <w:sz w:val="20"/>
          <w:szCs w:val="20"/>
        </w:rPr>
        <w:t>E</w:t>
      </w:r>
      <w:r w:rsidR="00925486" w:rsidRPr="003341C3">
        <w:rPr>
          <w:rFonts w:ascii="MetaSerifPro-Light" w:hAnsi="MetaSerifPro-Light" w:cs="MetaSerifPro-Light"/>
          <w:sz w:val="20"/>
          <w:szCs w:val="20"/>
        </w:rPr>
        <w:t>xpressly include in its Treaties that the respect for the Copenhagen criteria is not limited to accession countries but is a continuous obligation for all Member States.</w:t>
      </w:r>
    </w:p>
    <w:p w14:paraId="24CD3DF7" w14:textId="77777777" w:rsidR="00925486" w:rsidRPr="003341C3" w:rsidRDefault="00925486" w:rsidP="0042202C">
      <w:pPr>
        <w:rPr>
          <w:rFonts w:ascii="MetaSerifPro-Light" w:hAnsi="MetaSerifPro-Light" w:cs="MetaSerifPro-Light"/>
          <w:sz w:val="20"/>
          <w:szCs w:val="20"/>
          <w:lang w:val="en-US"/>
        </w:rPr>
      </w:pPr>
    </w:p>
    <w:sectPr w:rsidR="00925486" w:rsidRPr="003341C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C472" w14:textId="77777777" w:rsidR="00A3461D" w:rsidRDefault="00A3461D" w:rsidP="00D07C3C">
      <w:r>
        <w:separator/>
      </w:r>
    </w:p>
  </w:endnote>
  <w:endnote w:type="continuationSeparator" w:id="0">
    <w:p w14:paraId="6B59FA96" w14:textId="77777777" w:rsidR="00A3461D" w:rsidRDefault="00A3461D" w:rsidP="00D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etaSerifPro-Book">
    <w:altName w:val="﷽﷽﷽﷽﷽﷽﷽﷽fPro-Book"/>
    <w:panose1 w:val="02010604050101020102"/>
    <w:charset w:val="00"/>
    <w:family w:val="auto"/>
    <w:notTrueType/>
    <w:pitch w:val="variable"/>
    <w:sig w:usb0="A00002FF" w:usb1="5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etaSerifPro-Light">
    <w:altName w:val="Meta Serif Pro Light"/>
    <w:panose1 w:val="02010504050101020102"/>
    <w:charset w:val="00"/>
    <w:family w:val="auto"/>
    <w:notTrueType/>
    <w:pitch w:val="variable"/>
    <w:sig w:usb0="A00002FF" w:usb1="5000207B" w:usb2="00000008" w:usb3="00000000" w:csb0="0000009F" w:csb1="00000000"/>
  </w:font>
  <w:font w:name="MetaSerifPro-Bold">
    <w:altName w:val="﷽﷽﷽﷽﷽﷽﷽﷽fPro-Bold"/>
    <w:panose1 w:val="02010804050101020102"/>
    <w:charset w:val="00"/>
    <w:family w:val="auto"/>
    <w:notTrueType/>
    <w:pitch w:val="variable"/>
    <w:sig w:usb0="A00002FF" w:usb1="5000207B" w:usb2="00000008" w:usb3="00000000" w:csb0="0000009F" w:csb1="00000000"/>
  </w:font>
  <w:font w:name="MetaPro-Bold">
    <w:altName w:val="﷽﷽﷽﷽﷽﷽﷽﷽Bold"/>
    <w:panose1 w:val="020B0804030101020102"/>
    <w:charset w:val="00"/>
    <w:family w:val="swiss"/>
    <w:notTrueType/>
    <w:pitch w:val="variable"/>
    <w:sig w:usb0="A00002FF" w:usb1="4000207B" w:usb2="00000000" w:usb3="00000000" w:csb0="0000009F" w:csb1="00000000"/>
  </w:font>
  <w:font w:name="MetaPro-Light">
    <w:altName w:val="﷽﷽﷽﷽﷽﷽﷽﷽Light"/>
    <w:panose1 w:val="020B0504030101020102"/>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98AD" w14:textId="77777777" w:rsidR="00D07C3C" w:rsidRDefault="00D07C3C" w:rsidP="00D07C3C">
    <w:pPr>
      <w:pStyle w:val="Footer"/>
      <w:spacing w:line="200" w:lineRule="exact"/>
      <w:rPr>
        <w:rFonts w:ascii="MetaPro-Bold" w:hAnsi="MetaPro-Bold"/>
        <w:noProof/>
        <w:sz w:val="16"/>
        <w:szCs w:val="16"/>
        <w:lang w:val="en-GB" w:eastAsia="ja-JP"/>
      </w:rPr>
    </w:pPr>
  </w:p>
  <w:p w14:paraId="2F33FF10" w14:textId="77777777" w:rsidR="00D07C3C" w:rsidRDefault="00D07C3C" w:rsidP="00D07C3C">
    <w:pPr>
      <w:pStyle w:val="Footer"/>
      <w:ind w:right="360" w:firstLine="360"/>
    </w:pPr>
    <w:r w:rsidRPr="00D934D5">
      <w:rPr>
        <w:noProof/>
      </w:rPr>
      <mc:AlternateContent>
        <mc:Choice Requires="wps">
          <w:drawing>
            <wp:anchor distT="0" distB="0" distL="114300" distR="114300" simplePos="0" relativeHeight="251659264" behindDoc="1" locked="0" layoutInCell="1" allowOverlap="1" wp14:anchorId="7BD8152E" wp14:editId="2BB17DF9">
              <wp:simplePos x="0" y="0"/>
              <wp:positionH relativeFrom="page">
                <wp:posOffset>592455</wp:posOffset>
              </wp:positionH>
              <wp:positionV relativeFrom="page">
                <wp:posOffset>9380855</wp:posOffset>
              </wp:positionV>
              <wp:extent cx="6479540" cy="0"/>
              <wp:effectExtent l="0" t="0" r="22860" b="25400"/>
              <wp:wrapNone/>
              <wp:docPr id="11" name="Gerade Verbindung 11"/>
              <wp:cNvGraphicFramePr/>
              <a:graphic xmlns:a="http://schemas.openxmlformats.org/drawingml/2006/main">
                <a:graphicData uri="http://schemas.microsoft.com/office/word/2010/wordprocessingShape">
                  <wps:wsp>
                    <wps:cNvCnPr/>
                    <wps:spPr>
                      <a:xfrm>
                        <a:off x="0" y="0"/>
                        <a:ext cx="6479540" cy="0"/>
                      </a:xfrm>
                      <a:prstGeom prst="line">
                        <a:avLst/>
                      </a:prstGeom>
                      <a:ln w="3175" cmpd="sng">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8B849" id="Gerade Verbindung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6.65pt,738.65pt" to="556.85pt,73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" strokecolor="#7f7f7f [1612]" strokeweight=".25pt">
              <v:stroke joinstyle="miter"/>
              <w10:wrap anchorx="page" anchory="page"/>
            </v:line>
          </w:pict>
        </mc:Fallback>
      </mc:AlternateContent>
    </w:r>
  </w:p>
  <w:p w14:paraId="78CCD6F6" w14:textId="77777777" w:rsidR="00D07C3C" w:rsidRDefault="00D07C3C" w:rsidP="00D07C3C">
    <w:pPr>
      <w:pStyle w:val="Footer"/>
      <w:spacing w:line="200" w:lineRule="exact"/>
      <w:rPr>
        <w:rFonts w:ascii="MetaPro-Bold" w:hAnsi="MetaPro-Bold"/>
        <w:noProof/>
        <w:sz w:val="16"/>
        <w:szCs w:val="16"/>
        <w:lang w:val="en-GB" w:eastAsia="ja-JP"/>
      </w:rPr>
    </w:pPr>
  </w:p>
  <w:p w14:paraId="655F8683" w14:textId="77777777" w:rsidR="00D07C3C" w:rsidRPr="00107615" w:rsidRDefault="00D07C3C" w:rsidP="00D07C3C">
    <w:pPr>
      <w:pStyle w:val="Footer"/>
      <w:spacing w:line="200" w:lineRule="exact"/>
      <w:rPr>
        <w:rFonts w:ascii="MetaPro-Bold" w:hAnsi="MetaPro-Bold"/>
        <w:noProof/>
        <w:sz w:val="16"/>
        <w:szCs w:val="16"/>
        <w:lang w:val="en-GB" w:eastAsia="ja-JP"/>
      </w:rPr>
    </w:pPr>
    <w:r w:rsidRPr="00D934D5">
      <w:rPr>
        <w:noProof/>
      </w:rPr>
      <w:drawing>
        <wp:anchor distT="0" distB="0" distL="114300" distR="114300" simplePos="0" relativeHeight="251661312" behindDoc="1" locked="0" layoutInCell="1" allowOverlap="1" wp14:anchorId="533A8176" wp14:editId="06857B11">
          <wp:simplePos x="0" y="0"/>
          <wp:positionH relativeFrom="page">
            <wp:posOffset>5814695</wp:posOffset>
          </wp:positionH>
          <wp:positionV relativeFrom="page">
            <wp:posOffset>9700895</wp:posOffset>
          </wp:positionV>
          <wp:extent cx="900430" cy="292100"/>
          <wp:effectExtent l="0" t="0" r="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EN_klein.jpg"/>
                  <pic:cNvPicPr/>
                </pic:nvPicPr>
                <pic:blipFill>
                  <a:blip r:embed="rId1">
                    <a:extLst>
                      <a:ext uri="{28A0092B-C50C-407E-A947-70E740481C1C}">
                        <a14:useLocalDpi xmlns:a14="http://schemas.microsoft.com/office/drawing/2010/main" val="0"/>
                      </a:ext>
                    </a:extLst>
                  </a:blip>
                  <a:stretch>
                    <a:fillRect/>
                  </a:stretch>
                </pic:blipFill>
                <pic:spPr>
                  <a:xfrm>
                    <a:off x="0" y="0"/>
                    <a:ext cx="900430" cy="292100"/>
                  </a:xfrm>
                  <a:prstGeom prst="rect">
                    <a:avLst/>
                  </a:prstGeom>
                </pic:spPr>
              </pic:pic>
            </a:graphicData>
          </a:graphic>
        </wp:anchor>
      </w:drawing>
    </w:r>
    <w:r w:rsidRPr="00107615">
      <w:rPr>
        <w:rFonts w:ascii="MetaPro-Bold" w:hAnsi="MetaPro-Bold"/>
        <w:noProof/>
        <w:sz w:val="16"/>
        <w:szCs w:val="16"/>
        <w:lang w:val="en-GB" w:eastAsia="ja-JP"/>
      </w:rPr>
      <w:t>Federal Union of European Nationalities</w:t>
    </w:r>
  </w:p>
  <w:p w14:paraId="1CB84634" w14:textId="77777777" w:rsidR="00D07C3C" w:rsidRDefault="00D07C3C" w:rsidP="00D07C3C">
    <w:pPr>
      <w:tabs>
        <w:tab w:val="center" w:pos="4536"/>
        <w:tab w:val="right" w:pos="9072"/>
      </w:tabs>
      <w:spacing w:line="200" w:lineRule="exact"/>
      <w:rPr>
        <w:rFonts w:ascii="MetaPro-Light" w:eastAsia="MS Mincho" w:hAnsi="MetaPro-Light" w:cs="Times New Roman"/>
        <w:noProof/>
        <w:sz w:val="16"/>
        <w:szCs w:val="16"/>
        <w:lang w:val="en-GB" w:eastAsia="ja-JP"/>
      </w:rPr>
    </w:pPr>
    <w:r>
      <w:rPr>
        <w:rFonts w:ascii="MetaPro-Light" w:eastAsia="MS Mincho" w:hAnsi="MetaPro-Light" w:cs="Times New Roman"/>
        <w:noProof/>
        <w:sz w:val="16"/>
        <w:szCs w:val="16"/>
        <w:lang w:val="en-GB" w:eastAsia="ja-JP"/>
      </w:rPr>
      <w:t xml:space="preserve">Flensburg </w:t>
    </w:r>
    <w:r w:rsidRPr="00107615">
      <w:rPr>
        <w:rFonts w:ascii="MetaPro-Light" w:eastAsia="MS Mincho" w:hAnsi="MetaPro-Light" w:cs="Times New Roman"/>
        <w:noProof/>
        <w:sz w:val="16"/>
        <w:szCs w:val="16"/>
        <w:lang w:val="en-GB" w:eastAsia="ja-JP"/>
      </w:rPr>
      <w:t xml:space="preserve">/ Flensborg · Berlin · Brussel / Bruxelles </w:t>
    </w:r>
  </w:p>
  <w:p w14:paraId="646A00F8" w14:textId="77777777" w:rsidR="00D07C3C" w:rsidRPr="00D2429C" w:rsidRDefault="00D07C3C" w:rsidP="00D07C3C">
    <w:pPr>
      <w:tabs>
        <w:tab w:val="center" w:pos="4536"/>
        <w:tab w:val="right" w:pos="9072"/>
      </w:tabs>
      <w:spacing w:line="200" w:lineRule="exact"/>
      <w:rPr>
        <w:rFonts w:ascii="MetaPro-Light" w:eastAsia="MS Mincho" w:hAnsi="MetaPro-Light" w:cs="Times New Roman"/>
        <w:noProof/>
        <w:sz w:val="16"/>
        <w:szCs w:val="16"/>
        <w:lang w:val="en-GB" w:eastAsia="ja-JP"/>
      </w:rPr>
    </w:pPr>
    <w:r w:rsidRPr="00107615">
      <w:rPr>
        <w:rFonts w:ascii="MetaPro-Light" w:eastAsia="MS Mincho" w:hAnsi="MetaPro-Light" w:cs="Times New Roman"/>
        <w:noProof/>
        <w:sz w:val="16"/>
        <w:szCs w:val="16"/>
        <w:lang w:val="en-GB" w:eastAsia="ja-JP"/>
      </w:rPr>
      <w:t>+49 461 12855 · info@fuen.org · www.fue</w:t>
    </w:r>
    <w:r w:rsidRPr="00107615">
      <w:rPr>
        <w:rFonts w:ascii="MetaPro-Light" w:eastAsia="MS Mincho" w:hAnsi="MetaPro-Light" w:cs="Times New Roman"/>
        <w:noProof/>
        <w:sz w:val="16"/>
        <w:szCs w:val="16"/>
        <w:lang w:val="de-DE" w:eastAsia="de-DE"/>
      </w:rPr>
      <w:drawing>
        <wp:anchor distT="0" distB="0" distL="114300" distR="114300" simplePos="0" relativeHeight="251662336" behindDoc="1" locked="0" layoutInCell="1" allowOverlap="1" wp14:anchorId="49CEDD91" wp14:editId="2016EBD4">
          <wp:simplePos x="0" y="0"/>
          <wp:positionH relativeFrom="page">
            <wp:posOffset>7868285</wp:posOffset>
          </wp:positionH>
          <wp:positionV relativeFrom="page">
            <wp:posOffset>20079335</wp:posOffset>
          </wp:positionV>
          <wp:extent cx="900684" cy="292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EN_klein.jpg"/>
                  <pic:cNvPicPr/>
                </pic:nvPicPr>
                <pic:blipFill>
                  <a:blip r:embed="rId1">
                    <a:extLst>
                      <a:ext uri="{28A0092B-C50C-407E-A947-70E740481C1C}">
                        <a14:useLocalDpi xmlns:a14="http://schemas.microsoft.com/office/drawing/2010/main" val="0"/>
                      </a:ext>
                    </a:extLst>
                  </a:blip>
                  <a:stretch>
                    <a:fillRect/>
                  </a:stretch>
                </pic:blipFill>
                <pic:spPr>
                  <a:xfrm>
                    <a:off x="0" y="0"/>
                    <a:ext cx="900684" cy="292608"/>
                  </a:xfrm>
                  <a:prstGeom prst="rect">
                    <a:avLst/>
                  </a:prstGeom>
                </pic:spPr>
              </pic:pic>
            </a:graphicData>
          </a:graphic>
        </wp:anchor>
      </w:drawing>
    </w:r>
    <w:r w:rsidRPr="00107615">
      <w:rPr>
        <w:rFonts w:ascii="MetaPro-Light" w:eastAsia="MS Mincho" w:hAnsi="MetaPro-Light" w:cs="Times New Roman"/>
        <w:noProof/>
        <w:sz w:val="16"/>
        <w:szCs w:val="16"/>
        <w:lang w:val="en-GB" w:eastAsia="ja-JP"/>
      </w:rPr>
      <w:t>n.o</w:t>
    </w:r>
    <w:r>
      <w:rPr>
        <w:rFonts w:ascii="MetaPro-Light" w:eastAsia="MS Mincho" w:hAnsi="MetaPro-Light" w:cs="Times New Roman"/>
        <w:noProof/>
        <w:sz w:val="16"/>
        <w:szCs w:val="16"/>
        <w:lang w:val="en-GB" w:eastAsia="ja-JP"/>
      </w:rPr>
      <w:t>rg</w:t>
    </w:r>
  </w:p>
  <w:p w14:paraId="51B42041" w14:textId="77777777" w:rsidR="00D07C3C" w:rsidRDefault="00D07C3C">
    <w:pPr>
      <w:pStyle w:val="Footer"/>
    </w:pPr>
  </w:p>
  <w:p w14:paraId="0646489D" w14:textId="77777777" w:rsidR="00D07C3C" w:rsidRDefault="00D0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2700" w14:textId="77777777" w:rsidR="00A3461D" w:rsidRDefault="00A3461D" w:rsidP="00D07C3C">
      <w:r>
        <w:separator/>
      </w:r>
    </w:p>
  </w:footnote>
  <w:footnote w:type="continuationSeparator" w:id="0">
    <w:p w14:paraId="2E5CC116" w14:textId="77777777" w:rsidR="00A3461D" w:rsidRDefault="00A3461D" w:rsidP="00D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D931" w14:textId="170CD377" w:rsidR="00D07C3C" w:rsidRPr="00FA3C39" w:rsidRDefault="00FA3C39">
    <w:pPr>
      <w:pStyle w:val="Header"/>
      <w:rPr>
        <w:rFonts w:ascii="MetaSerifPro-Light" w:hAnsi="MetaSerifPro-Light" w:cs="MetaSerifPro-Light"/>
        <w:color w:val="44546A" w:themeColor="text2"/>
        <w:sz w:val="20"/>
        <w:szCs w:val="20"/>
        <w:lang w:val="de-DE"/>
      </w:rPr>
    </w:pPr>
    <w:r>
      <w:rPr>
        <w:rFonts w:ascii="MetaSerifPro-Light" w:hAnsi="MetaSerifPro-Light" w:cs="MetaSerifPro-Light"/>
        <w:color w:val="44546A" w:themeColor="text2"/>
        <w:sz w:val="20"/>
        <w:szCs w:val="20"/>
        <w:lang w:val="de-DE"/>
      </w:rPr>
      <w:t>(</w:t>
    </w:r>
    <w:proofErr w:type="spellStart"/>
    <w:r w:rsidR="007A651B" w:rsidRPr="00FA3C39">
      <w:rPr>
        <w:rFonts w:ascii="MetaSerifPro-Light" w:hAnsi="MetaSerifPro-Light" w:cs="MetaSerifPro-Light"/>
        <w:color w:val="44546A" w:themeColor="text2"/>
        <w:sz w:val="20"/>
        <w:szCs w:val="20"/>
        <w:lang w:val="de-DE"/>
      </w:rPr>
      <w:t>Draft</w:t>
    </w:r>
    <w:proofErr w:type="spellEnd"/>
    <w:r>
      <w:rPr>
        <w:rFonts w:ascii="MetaSerifPro-Light" w:hAnsi="MetaSerifPro-Light" w:cs="MetaSerifPro-Light"/>
        <w:color w:val="44546A" w:themeColor="text2"/>
        <w:sz w:val="20"/>
        <w:szCs w:val="20"/>
        <w:lang w:val="de-DE"/>
      </w:rPr>
      <w:t>)</w:t>
    </w:r>
  </w:p>
  <w:p w14:paraId="3C074FC2" w14:textId="77777777" w:rsidR="007A651B" w:rsidRPr="007A651B" w:rsidRDefault="007A651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10A9F"/>
    <w:multiLevelType w:val="hybridMultilevel"/>
    <w:tmpl w:val="4AFE4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85328"/>
    <w:multiLevelType w:val="hybridMultilevel"/>
    <w:tmpl w:val="1016657C"/>
    <w:lvl w:ilvl="0" w:tplc="04070003">
      <w:start w:val="1"/>
      <w:numFmt w:val="bullet"/>
      <w:lvlText w:val="o"/>
      <w:lvlJc w:val="left"/>
      <w:pPr>
        <w:ind w:left="720" w:hanging="360"/>
      </w:pPr>
      <w:rPr>
        <w:rFonts w:ascii="Courier New" w:hAnsi="Courier New" w:cs="Courier New" w:hint="default"/>
      </w:rPr>
    </w:lvl>
    <w:lvl w:ilvl="1" w:tplc="B1D84EA4">
      <w:numFmt w:val="bullet"/>
      <w:lvlText w:val="-"/>
      <w:lvlJc w:val="left"/>
      <w:pPr>
        <w:ind w:left="1440" w:hanging="360"/>
      </w:pPr>
      <w:rPr>
        <w:rFonts w:ascii="MetaSerifPro-Book" w:eastAsiaTheme="minorEastAsia" w:hAnsi="MetaSerifPro-Book" w:cs="MetaSerifPro-Book"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1E2FE6"/>
    <w:multiLevelType w:val="hybridMultilevel"/>
    <w:tmpl w:val="AE1A9EF6"/>
    <w:lvl w:ilvl="0" w:tplc="F2F09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B4FCD"/>
    <w:multiLevelType w:val="hybridMultilevel"/>
    <w:tmpl w:val="5D6A0B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B3E3A"/>
    <w:multiLevelType w:val="hybridMultilevel"/>
    <w:tmpl w:val="F6022CA0"/>
    <w:lvl w:ilvl="0" w:tplc="F2F09FBC">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86"/>
    <w:rsid w:val="00095197"/>
    <w:rsid w:val="002F69AF"/>
    <w:rsid w:val="0031695B"/>
    <w:rsid w:val="003341C3"/>
    <w:rsid w:val="003C718C"/>
    <w:rsid w:val="0042202C"/>
    <w:rsid w:val="005F38C3"/>
    <w:rsid w:val="00623D6B"/>
    <w:rsid w:val="006458E7"/>
    <w:rsid w:val="00784BDE"/>
    <w:rsid w:val="007A651B"/>
    <w:rsid w:val="00925486"/>
    <w:rsid w:val="009C5168"/>
    <w:rsid w:val="00A060E4"/>
    <w:rsid w:val="00A215E7"/>
    <w:rsid w:val="00A3461D"/>
    <w:rsid w:val="00A67547"/>
    <w:rsid w:val="00AF70F2"/>
    <w:rsid w:val="00D07C3C"/>
    <w:rsid w:val="00D53533"/>
    <w:rsid w:val="00D7296C"/>
    <w:rsid w:val="00DF278D"/>
    <w:rsid w:val="00E632E0"/>
    <w:rsid w:val="00F46C3A"/>
    <w:rsid w:val="00FA3C39"/>
    <w:rsid w:val="00FC3041"/>
    <w:rsid w:val="00FF5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EA3"/>
  <w15:chartTrackingRefBased/>
  <w15:docId w15:val="{443EE99C-C66E-5A4B-BE76-5C1E1E65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86"/>
    <w:pPr>
      <w:ind w:left="720"/>
      <w:contextualSpacing/>
      <w:jc w:val="both"/>
    </w:pPr>
    <w:rPr>
      <w:rFonts w:ascii="Times New Roman" w:hAnsi="Times New Roman" w:cs="Times New Roman"/>
      <w:sz w:val="24"/>
      <w:szCs w:val="24"/>
      <w:lang w:val="en-GB" w:eastAsia="ii-CN"/>
    </w:rPr>
  </w:style>
  <w:style w:type="paragraph" w:styleId="NormalWeb">
    <w:name w:val="Normal (Web)"/>
    <w:basedOn w:val="Normal"/>
    <w:uiPriority w:val="99"/>
    <w:unhideWhenUsed/>
    <w:rsid w:val="00925486"/>
    <w:pPr>
      <w:spacing w:before="100" w:beforeAutospacing="1" w:after="100" w:afterAutospacing="1"/>
    </w:pPr>
    <w:rPr>
      <w:rFonts w:ascii="Times New Roman" w:eastAsia="Times New Roman" w:hAnsi="Times New Roman" w:cs="Times New Roman"/>
      <w:sz w:val="24"/>
      <w:szCs w:val="24"/>
      <w:lang w:val="en-GB" w:eastAsia="ko-KR"/>
    </w:rPr>
  </w:style>
  <w:style w:type="character" w:styleId="CommentReference">
    <w:name w:val="annotation reference"/>
    <w:basedOn w:val="DefaultParagraphFont"/>
    <w:uiPriority w:val="99"/>
    <w:semiHidden/>
    <w:unhideWhenUsed/>
    <w:rsid w:val="005F38C3"/>
    <w:rPr>
      <w:sz w:val="16"/>
      <w:szCs w:val="16"/>
    </w:rPr>
  </w:style>
  <w:style w:type="paragraph" w:styleId="CommentText">
    <w:name w:val="annotation text"/>
    <w:basedOn w:val="Normal"/>
    <w:link w:val="CommentTextChar"/>
    <w:uiPriority w:val="99"/>
    <w:semiHidden/>
    <w:unhideWhenUsed/>
    <w:rsid w:val="005F38C3"/>
    <w:rPr>
      <w:sz w:val="20"/>
      <w:szCs w:val="20"/>
    </w:rPr>
  </w:style>
  <w:style w:type="character" w:customStyle="1" w:styleId="CommentTextChar">
    <w:name w:val="Comment Text Char"/>
    <w:basedOn w:val="DefaultParagraphFont"/>
    <w:link w:val="CommentText"/>
    <w:uiPriority w:val="99"/>
    <w:semiHidden/>
    <w:rsid w:val="005F38C3"/>
    <w:rPr>
      <w:sz w:val="20"/>
      <w:szCs w:val="20"/>
    </w:rPr>
  </w:style>
  <w:style w:type="paragraph" w:styleId="CommentSubject">
    <w:name w:val="annotation subject"/>
    <w:basedOn w:val="CommentText"/>
    <w:next w:val="CommentText"/>
    <w:link w:val="CommentSubjectChar"/>
    <w:uiPriority w:val="99"/>
    <w:semiHidden/>
    <w:unhideWhenUsed/>
    <w:rsid w:val="005F38C3"/>
    <w:rPr>
      <w:b/>
      <w:bCs/>
    </w:rPr>
  </w:style>
  <w:style w:type="character" w:customStyle="1" w:styleId="CommentSubjectChar">
    <w:name w:val="Comment Subject Char"/>
    <w:basedOn w:val="CommentTextChar"/>
    <w:link w:val="CommentSubject"/>
    <w:uiPriority w:val="99"/>
    <w:semiHidden/>
    <w:rsid w:val="005F38C3"/>
    <w:rPr>
      <w:b/>
      <w:bCs/>
      <w:sz w:val="20"/>
      <w:szCs w:val="20"/>
    </w:rPr>
  </w:style>
  <w:style w:type="paragraph" w:styleId="BalloonText">
    <w:name w:val="Balloon Text"/>
    <w:basedOn w:val="Normal"/>
    <w:link w:val="BalloonTextChar"/>
    <w:uiPriority w:val="99"/>
    <w:semiHidden/>
    <w:unhideWhenUsed/>
    <w:rsid w:val="005F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C3"/>
    <w:rPr>
      <w:rFonts w:ascii="Segoe UI" w:hAnsi="Segoe UI" w:cs="Segoe UI"/>
      <w:sz w:val="18"/>
      <w:szCs w:val="18"/>
    </w:rPr>
  </w:style>
  <w:style w:type="paragraph" w:styleId="Header">
    <w:name w:val="header"/>
    <w:basedOn w:val="Normal"/>
    <w:link w:val="HeaderChar"/>
    <w:uiPriority w:val="99"/>
    <w:unhideWhenUsed/>
    <w:rsid w:val="00D07C3C"/>
    <w:pPr>
      <w:tabs>
        <w:tab w:val="center" w:pos="4536"/>
        <w:tab w:val="right" w:pos="9072"/>
      </w:tabs>
    </w:pPr>
  </w:style>
  <w:style w:type="character" w:customStyle="1" w:styleId="HeaderChar">
    <w:name w:val="Header Char"/>
    <w:basedOn w:val="DefaultParagraphFont"/>
    <w:link w:val="Header"/>
    <w:uiPriority w:val="99"/>
    <w:rsid w:val="00D07C3C"/>
  </w:style>
  <w:style w:type="paragraph" w:styleId="Footer">
    <w:name w:val="footer"/>
    <w:basedOn w:val="Normal"/>
    <w:link w:val="FooterChar"/>
    <w:uiPriority w:val="99"/>
    <w:unhideWhenUsed/>
    <w:rsid w:val="00D07C3C"/>
    <w:pPr>
      <w:tabs>
        <w:tab w:val="center" w:pos="4536"/>
        <w:tab w:val="right" w:pos="9072"/>
      </w:tabs>
    </w:pPr>
  </w:style>
  <w:style w:type="character" w:customStyle="1" w:styleId="FooterChar">
    <w:name w:val="Footer Char"/>
    <w:basedOn w:val="DefaultParagraphFont"/>
    <w:link w:val="Footer"/>
    <w:uiPriority w:val="99"/>
    <w:rsid w:val="00D0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Loránt Vincze</dc:creator>
  <cp:keywords/>
  <dc:description/>
  <cp:lastModifiedBy>Microsoft Office User</cp:lastModifiedBy>
  <cp:revision>9</cp:revision>
  <dcterms:created xsi:type="dcterms:W3CDTF">2021-09-06T17:30:00Z</dcterms:created>
  <dcterms:modified xsi:type="dcterms:W3CDTF">2021-09-07T11:03:00Z</dcterms:modified>
</cp:coreProperties>
</file>